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63" w:rsidRDefault="00AE76DB">
      <w:pPr>
        <w:pStyle w:val="Heading1"/>
        <w:spacing w:before="57"/>
        <w:ind w:firstLine="211"/>
      </w:pPr>
      <w:bookmarkStart w:id="0" w:name="_GoBack"/>
      <w:bookmarkEnd w:id="0"/>
      <w:r>
        <w:t xml:space="preserve">Terms of Service </w:t>
      </w:r>
      <w:r w:rsidR="00D87602">
        <w:t xml:space="preserve">for Provision of Contact Center Services from </w:t>
      </w:r>
      <w:r w:rsidR="00502B69">
        <w:t>Carousel</w:t>
      </w:r>
      <w:r w:rsidR="00D87602">
        <w:t xml:space="preserve"> to Customer</w:t>
      </w:r>
    </w:p>
    <w:p w:rsidR="00822563" w:rsidRDefault="00822563">
      <w:pPr>
        <w:pStyle w:val="BodyText"/>
        <w:spacing w:before="6"/>
        <w:rPr>
          <w:b/>
          <w:sz w:val="23"/>
        </w:rPr>
      </w:pPr>
    </w:p>
    <w:p w:rsidR="00822563" w:rsidRDefault="00D87602" w:rsidP="00502B69">
      <w:pPr>
        <w:pStyle w:val="BodyText"/>
        <w:tabs>
          <w:tab w:val="left" w:pos="5232"/>
          <w:tab w:val="left" w:pos="8862"/>
        </w:tabs>
        <w:spacing w:before="0"/>
        <w:ind w:left="100" w:right="172"/>
      </w:pPr>
      <w:r>
        <w:t xml:space="preserve">This </w:t>
      </w:r>
      <w:r w:rsidR="00AE76DB">
        <w:t xml:space="preserve">Terms of Service </w:t>
      </w:r>
      <w:r w:rsidR="00F87B48">
        <w:t xml:space="preserve">(“TOS”) </w:t>
      </w:r>
      <w:r>
        <w:t xml:space="preserve">for the Contact Center Services </w:t>
      </w:r>
      <w:r>
        <w:t xml:space="preserve">sets forth the terms and conditions for the Contact Center Services provided by </w:t>
      </w:r>
      <w:r w:rsidR="00502B69">
        <w:t>Carousel</w:t>
      </w:r>
      <w:r>
        <w:t>’s Authorized Service Provider</w:t>
      </w:r>
      <w:r w:rsidR="00F87B48">
        <w:t xml:space="preserve"> (“RingCentral”)</w:t>
      </w:r>
      <w:r>
        <w:t>, and forms a part of and is subject to the Business VoIP Addendum that is a part of the Agreement between</w:t>
      </w:r>
      <w:r>
        <w:rPr>
          <w:spacing w:val="-3"/>
        </w:rPr>
        <w:t xml:space="preserve"> </w:t>
      </w:r>
      <w:r>
        <w:t>[</w:t>
      </w:r>
      <w:r w:rsidR="00502B69">
        <w:t>Carousel</w:t>
      </w:r>
      <w:r>
        <w:t>]</w:t>
      </w:r>
      <w:r>
        <w:rPr>
          <w:spacing w:val="-2"/>
        </w:rPr>
        <w:t xml:space="preserve"> </w:t>
      </w:r>
      <w:r>
        <w:t>and</w:t>
      </w:r>
      <w:r w:rsidR="00502B69">
        <w:t xml:space="preserve"> </w:t>
      </w:r>
      <w:r>
        <w:t>(“Customer”)</w:t>
      </w:r>
      <w:r>
        <w:t>.</w:t>
      </w:r>
      <w:r w:rsidR="00502B69">
        <w:t xml:space="preserve">  Carousel</w:t>
      </w:r>
      <w:r>
        <w:t xml:space="preserve"> and Customer are each herein referred to as a “</w:t>
      </w:r>
      <w:r>
        <w:rPr>
          <w:b/>
          <w:u w:val="thick"/>
        </w:rPr>
        <w:t>Party</w:t>
      </w:r>
      <w:r>
        <w:t>” and collectively as the “</w:t>
      </w:r>
      <w:r>
        <w:rPr>
          <w:b/>
          <w:u w:val="thick"/>
        </w:rPr>
        <w:t>Parties</w:t>
      </w:r>
      <w:r>
        <w:t>.”</w:t>
      </w:r>
    </w:p>
    <w:p w:rsidR="00822563" w:rsidRDefault="00822563">
      <w:pPr>
        <w:pStyle w:val="BodyText"/>
        <w:spacing w:before="0"/>
        <w:rPr>
          <w:sz w:val="20"/>
        </w:rPr>
      </w:pPr>
    </w:p>
    <w:p w:rsidR="00822563" w:rsidRDefault="00822563">
      <w:pPr>
        <w:pStyle w:val="BodyText"/>
        <w:rPr>
          <w:sz w:val="18"/>
        </w:rPr>
      </w:pPr>
    </w:p>
    <w:p w:rsidR="00822563" w:rsidRDefault="00D87602">
      <w:pPr>
        <w:pStyle w:val="ListParagraph"/>
        <w:numPr>
          <w:ilvl w:val="0"/>
          <w:numId w:val="3"/>
        </w:numPr>
        <w:tabs>
          <w:tab w:val="left" w:pos="821"/>
        </w:tabs>
        <w:spacing w:before="69"/>
        <w:ind w:right="301" w:firstLine="0"/>
        <w:rPr>
          <w:sz w:val="24"/>
        </w:rPr>
      </w:pPr>
      <w:r>
        <w:rPr>
          <w:b/>
          <w:sz w:val="24"/>
        </w:rPr>
        <w:t xml:space="preserve">Contact Center Services </w:t>
      </w:r>
      <w:r>
        <w:rPr>
          <w:sz w:val="24"/>
        </w:rPr>
        <w:t>or “</w:t>
      </w:r>
      <w:r>
        <w:rPr>
          <w:b/>
          <w:sz w:val="24"/>
        </w:rPr>
        <w:t>CC Services</w:t>
      </w:r>
      <w:r>
        <w:rPr>
          <w:sz w:val="24"/>
        </w:rPr>
        <w:t>”</w:t>
      </w:r>
      <w:r>
        <w:rPr>
          <w:b/>
          <w:sz w:val="24"/>
        </w:rPr>
        <w:t xml:space="preserve">. </w:t>
      </w:r>
      <w:r>
        <w:rPr>
          <w:sz w:val="24"/>
        </w:rPr>
        <w:t>Contact Center is an innovative cloud- based solution offering inbound and outbound media routing, queui</w:t>
      </w:r>
      <w:r>
        <w:rPr>
          <w:sz w:val="24"/>
        </w:rPr>
        <w:t>ng, and distribution with native support for voice, chat, SMS, email, and other formats. It includes web-based tools for monitoring and management, and advance analytics options. Customer may elect to add on</w:t>
      </w:r>
      <w:r>
        <w:rPr>
          <w:spacing w:val="-12"/>
          <w:sz w:val="24"/>
        </w:rPr>
        <w:t xml:space="preserve"> </w:t>
      </w:r>
      <w:r>
        <w:rPr>
          <w:sz w:val="24"/>
        </w:rPr>
        <w:t>the Contact Center Services as further set forth</w:t>
      </w:r>
      <w:r>
        <w:rPr>
          <w:spacing w:val="-11"/>
          <w:sz w:val="24"/>
        </w:rPr>
        <w:t xml:space="preserve"> </w:t>
      </w:r>
      <w:r>
        <w:rPr>
          <w:sz w:val="24"/>
        </w:rPr>
        <w:t>below.</w:t>
      </w:r>
    </w:p>
    <w:p w:rsidR="00822563" w:rsidRDefault="00822563">
      <w:pPr>
        <w:pStyle w:val="BodyText"/>
        <w:rPr>
          <w:sz w:val="20"/>
        </w:rPr>
      </w:pPr>
    </w:p>
    <w:p w:rsidR="00822563" w:rsidRPr="00502B69" w:rsidRDefault="00D87602" w:rsidP="00502B69">
      <w:pPr>
        <w:pStyle w:val="ListParagraph"/>
        <w:numPr>
          <w:ilvl w:val="1"/>
          <w:numId w:val="3"/>
        </w:numPr>
        <w:tabs>
          <w:tab w:val="left" w:pos="821"/>
        </w:tabs>
        <w:ind w:right="337"/>
        <w:rPr>
          <w:sz w:val="20"/>
        </w:rPr>
      </w:pPr>
      <w:r w:rsidRPr="00502B69">
        <w:rPr>
          <w:b/>
          <w:sz w:val="24"/>
        </w:rPr>
        <w:t xml:space="preserve">Definitions. </w:t>
      </w:r>
      <w:r>
        <w:rPr>
          <w:sz w:val="24"/>
        </w:rPr>
        <w:t>Unless otherwise defined in the Business VoIP Addendum, the following terms shall be defined in accordance with the below</w:t>
      </w:r>
      <w:r w:rsidRPr="00502B69">
        <w:rPr>
          <w:spacing w:val="-10"/>
          <w:sz w:val="24"/>
        </w:rPr>
        <w:t xml:space="preserve"> </w:t>
      </w:r>
      <w:r>
        <w:rPr>
          <w:sz w:val="24"/>
        </w:rPr>
        <w:t>definitions.</w:t>
      </w:r>
    </w:p>
    <w:p w:rsidR="00502B69" w:rsidRDefault="00502B69" w:rsidP="00502B69">
      <w:pPr>
        <w:pStyle w:val="ListParagraph"/>
        <w:tabs>
          <w:tab w:val="left" w:pos="1541"/>
        </w:tabs>
        <w:ind w:left="1540" w:right="168" w:firstLine="0"/>
        <w:rPr>
          <w:sz w:val="24"/>
        </w:rPr>
      </w:pPr>
    </w:p>
    <w:p w:rsidR="00502B69" w:rsidRDefault="00502B69" w:rsidP="00502B69">
      <w:pPr>
        <w:pStyle w:val="ListParagraph"/>
        <w:numPr>
          <w:ilvl w:val="2"/>
          <w:numId w:val="3"/>
        </w:numPr>
        <w:tabs>
          <w:tab w:val="left" w:pos="1541"/>
        </w:tabs>
        <w:ind w:right="168"/>
        <w:rPr>
          <w:sz w:val="24"/>
        </w:rPr>
      </w:pPr>
      <w:r w:rsidRPr="00502B69">
        <w:rPr>
          <w:b/>
          <w:sz w:val="24"/>
          <w:u w:val="single"/>
        </w:rPr>
        <w:t>“Authorized Service Provider(s)”</w:t>
      </w:r>
      <w:r w:rsidRPr="00502B69">
        <w:rPr>
          <w:sz w:val="24"/>
        </w:rPr>
        <w:t xml:space="preserve"> means Carousel’s Authorized Service Provider, RingCentral Inc. or other subcontracting resources as necessary to provide the service.</w:t>
      </w:r>
    </w:p>
    <w:p w:rsidR="00502B69" w:rsidRPr="00502B69" w:rsidRDefault="00502B69" w:rsidP="00502B69">
      <w:pPr>
        <w:pStyle w:val="ListParagraph"/>
        <w:tabs>
          <w:tab w:val="left" w:pos="1541"/>
        </w:tabs>
        <w:ind w:left="1540" w:right="168" w:firstLine="0"/>
        <w:rPr>
          <w:sz w:val="24"/>
        </w:rPr>
      </w:pPr>
    </w:p>
    <w:p w:rsidR="00822563" w:rsidRDefault="00502B69" w:rsidP="00502B69">
      <w:pPr>
        <w:pStyle w:val="ListParagraph"/>
        <w:numPr>
          <w:ilvl w:val="2"/>
          <w:numId w:val="3"/>
        </w:numPr>
        <w:tabs>
          <w:tab w:val="left" w:pos="1541"/>
        </w:tabs>
        <w:ind w:right="168"/>
        <w:rPr>
          <w:sz w:val="24"/>
        </w:rPr>
      </w:pPr>
      <w:r w:rsidRPr="00502B69">
        <w:rPr>
          <w:sz w:val="24"/>
        </w:rPr>
        <w:t xml:space="preserve"> </w:t>
      </w:r>
      <w:r w:rsidR="00D87602">
        <w:rPr>
          <w:sz w:val="24"/>
        </w:rPr>
        <w:t>“</w:t>
      </w:r>
      <w:r w:rsidR="00D87602">
        <w:rPr>
          <w:b/>
          <w:sz w:val="24"/>
          <w:u w:val="thick"/>
        </w:rPr>
        <w:t>Contact Center Materials</w:t>
      </w:r>
      <w:r w:rsidR="00D87602">
        <w:rPr>
          <w:sz w:val="24"/>
        </w:rPr>
        <w:t>” means any documentation, support materials, knowledge-base articles, in</w:t>
      </w:r>
      <w:r w:rsidR="00D87602">
        <w:rPr>
          <w:sz w:val="24"/>
        </w:rPr>
        <w:t>structions, marketing materials, or other materials provided in connection with the Contact Center Services, regardless of form,</w:t>
      </w:r>
      <w:r w:rsidR="00D87602">
        <w:rPr>
          <w:spacing w:val="-14"/>
          <w:sz w:val="24"/>
        </w:rPr>
        <w:t xml:space="preserve"> </w:t>
      </w:r>
      <w:r w:rsidR="00D87602">
        <w:rPr>
          <w:sz w:val="24"/>
        </w:rPr>
        <w:t xml:space="preserve">that </w:t>
      </w:r>
      <w:r>
        <w:rPr>
          <w:sz w:val="24"/>
        </w:rPr>
        <w:t>Carousel</w:t>
      </w:r>
      <w:r w:rsidR="00D87602">
        <w:rPr>
          <w:sz w:val="24"/>
        </w:rPr>
        <w:t>’s Authorized Service Provider distributes generally to end users of the Contact Center Services, including withou</w:t>
      </w:r>
      <w:r w:rsidR="00D87602">
        <w:rPr>
          <w:sz w:val="24"/>
        </w:rPr>
        <w:t>t limitation manuals, descriptions,</w:t>
      </w:r>
      <w:r w:rsidR="00D87602">
        <w:rPr>
          <w:spacing w:val="-14"/>
          <w:sz w:val="24"/>
        </w:rPr>
        <w:t xml:space="preserve"> </w:t>
      </w:r>
      <w:r w:rsidR="00D87602">
        <w:rPr>
          <w:sz w:val="24"/>
        </w:rPr>
        <w:t>user or installation instructions, diagrams, printouts, listings, flowcharts and training materials.</w:t>
      </w:r>
    </w:p>
    <w:p w:rsidR="00822563" w:rsidRDefault="00822563">
      <w:pPr>
        <w:pStyle w:val="BodyText"/>
        <w:rPr>
          <w:sz w:val="20"/>
        </w:rPr>
      </w:pPr>
    </w:p>
    <w:p w:rsidR="00822563" w:rsidRDefault="00D87602">
      <w:pPr>
        <w:pStyle w:val="ListParagraph"/>
        <w:numPr>
          <w:ilvl w:val="2"/>
          <w:numId w:val="3"/>
        </w:numPr>
        <w:tabs>
          <w:tab w:val="left" w:pos="1541"/>
        </w:tabs>
        <w:ind w:right="561"/>
        <w:rPr>
          <w:sz w:val="24"/>
        </w:rPr>
      </w:pPr>
      <w:r>
        <w:rPr>
          <w:sz w:val="24"/>
        </w:rPr>
        <w:t>“</w:t>
      </w:r>
      <w:r>
        <w:rPr>
          <w:b/>
          <w:sz w:val="24"/>
          <w:u w:val="thick"/>
        </w:rPr>
        <w:t>Contact Center Services</w:t>
      </w:r>
      <w:r>
        <w:rPr>
          <w:sz w:val="24"/>
        </w:rPr>
        <w:t>” means the inbound and outbound media</w:t>
      </w:r>
      <w:r>
        <w:rPr>
          <w:spacing w:val="-12"/>
          <w:sz w:val="24"/>
        </w:rPr>
        <w:t xml:space="preserve"> </w:t>
      </w:r>
      <w:r>
        <w:rPr>
          <w:sz w:val="24"/>
        </w:rPr>
        <w:t>routing, queuing, and distribution and related services</w:t>
      </w:r>
      <w:r>
        <w:rPr>
          <w:sz w:val="24"/>
        </w:rPr>
        <w:t>, applications, and product integrations, together referred to as Contact</w:t>
      </w:r>
      <w:r>
        <w:rPr>
          <w:spacing w:val="-9"/>
          <w:sz w:val="24"/>
        </w:rPr>
        <w:t xml:space="preserve"> </w:t>
      </w:r>
      <w:r>
        <w:rPr>
          <w:sz w:val="24"/>
        </w:rPr>
        <w:t>Center.</w:t>
      </w:r>
    </w:p>
    <w:p w:rsidR="00822563" w:rsidRDefault="00822563">
      <w:pPr>
        <w:pStyle w:val="BodyText"/>
        <w:rPr>
          <w:sz w:val="20"/>
        </w:rPr>
      </w:pPr>
    </w:p>
    <w:p w:rsidR="00822563" w:rsidRDefault="00D87602">
      <w:pPr>
        <w:pStyle w:val="ListParagraph"/>
        <w:numPr>
          <w:ilvl w:val="2"/>
          <w:numId w:val="3"/>
        </w:numPr>
        <w:tabs>
          <w:tab w:val="left" w:pos="1541"/>
        </w:tabs>
        <w:ind w:right="178"/>
        <w:rPr>
          <w:sz w:val="24"/>
        </w:rPr>
      </w:pPr>
      <w:r>
        <w:rPr>
          <w:sz w:val="24"/>
        </w:rPr>
        <w:t>“</w:t>
      </w:r>
      <w:r>
        <w:rPr>
          <w:b/>
          <w:sz w:val="24"/>
          <w:u w:val="thick"/>
        </w:rPr>
        <w:t>Contact Center End User</w:t>
      </w:r>
      <w:r>
        <w:rPr>
          <w:sz w:val="24"/>
        </w:rPr>
        <w:t>” means a virtual user set up within a Contact Center Account.</w:t>
      </w:r>
    </w:p>
    <w:p w:rsidR="00822563" w:rsidRDefault="00822563">
      <w:pPr>
        <w:pStyle w:val="BodyText"/>
        <w:rPr>
          <w:sz w:val="20"/>
        </w:rPr>
      </w:pPr>
    </w:p>
    <w:p w:rsidR="00822563" w:rsidRDefault="00D87602">
      <w:pPr>
        <w:pStyle w:val="ListParagraph"/>
        <w:numPr>
          <w:ilvl w:val="2"/>
          <w:numId w:val="3"/>
        </w:numPr>
        <w:tabs>
          <w:tab w:val="left" w:pos="1541"/>
        </w:tabs>
        <w:ind w:right="713"/>
        <w:rPr>
          <w:sz w:val="24"/>
        </w:rPr>
      </w:pPr>
      <w:r>
        <w:rPr>
          <w:sz w:val="24"/>
        </w:rPr>
        <w:t>“</w:t>
      </w:r>
      <w:r>
        <w:rPr>
          <w:b/>
          <w:sz w:val="24"/>
          <w:u w:val="thick"/>
        </w:rPr>
        <w:t>Seat</w:t>
      </w:r>
      <w:r>
        <w:rPr>
          <w:sz w:val="24"/>
        </w:rPr>
        <w:t>” means a license for a single named person to use the Contact Center Services.</w:t>
      </w:r>
    </w:p>
    <w:p w:rsidR="00822563" w:rsidRDefault="00822563">
      <w:pPr>
        <w:pStyle w:val="BodyText"/>
        <w:rPr>
          <w:sz w:val="20"/>
        </w:rPr>
      </w:pPr>
    </w:p>
    <w:p w:rsidR="00822563" w:rsidRDefault="00D87602">
      <w:pPr>
        <w:pStyle w:val="ListParagraph"/>
        <w:numPr>
          <w:ilvl w:val="1"/>
          <w:numId w:val="3"/>
        </w:numPr>
        <w:tabs>
          <w:tab w:val="left" w:pos="821"/>
        </w:tabs>
        <w:ind w:right="519"/>
        <w:rPr>
          <w:sz w:val="24"/>
        </w:rPr>
      </w:pPr>
      <w:r>
        <w:rPr>
          <w:b/>
          <w:sz w:val="24"/>
        </w:rPr>
        <w:t xml:space="preserve">Billing and Payment for Contact Center. </w:t>
      </w:r>
      <w:r w:rsidRPr="00502B69">
        <w:rPr>
          <w:sz w:val="24"/>
        </w:rPr>
        <w:t>T</w:t>
      </w:r>
      <w:r>
        <w:rPr>
          <w:sz w:val="24"/>
        </w:rPr>
        <w:t>he charges and fees for Contact Center shall be incurred and billed, and become due and payable, as set forth</w:t>
      </w:r>
      <w:r>
        <w:rPr>
          <w:spacing w:val="-11"/>
          <w:sz w:val="24"/>
        </w:rPr>
        <w:t xml:space="preserve"> </w:t>
      </w:r>
      <w:r>
        <w:rPr>
          <w:sz w:val="24"/>
        </w:rPr>
        <w:t>below.</w:t>
      </w:r>
    </w:p>
    <w:p w:rsidR="00822563" w:rsidRDefault="00822563">
      <w:pPr>
        <w:pStyle w:val="BodyText"/>
        <w:spacing w:before="3"/>
        <w:rPr>
          <w:sz w:val="21"/>
        </w:rPr>
      </w:pPr>
    </w:p>
    <w:p w:rsidR="00822563" w:rsidRDefault="00D87602">
      <w:pPr>
        <w:pStyle w:val="Heading1"/>
        <w:numPr>
          <w:ilvl w:val="2"/>
          <w:numId w:val="3"/>
        </w:numPr>
        <w:tabs>
          <w:tab w:val="left" w:pos="1541"/>
        </w:tabs>
      </w:pPr>
      <w:r>
        <w:t>Billing, Purchase of Seats, and Other Terms for the Contact Center</w:t>
      </w:r>
      <w:r>
        <w:rPr>
          <w:spacing w:val="-21"/>
        </w:rPr>
        <w:t xml:space="preserve"> </w:t>
      </w:r>
      <w:r>
        <w:t>Plan</w:t>
      </w:r>
    </w:p>
    <w:p w:rsidR="00822563" w:rsidRDefault="00822563">
      <w:pPr>
        <w:pStyle w:val="BodyText"/>
        <w:spacing w:before="5"/>
        <w:rPr>
          <w:b/>
          <w:sz w:val="20"/>
        </w:rPr>
      </w:pPr>
    </w:p>
    <w:p w:rsidR="00822563" w:rsidRDefault="00D87602">
      <w:pPr>
        <w:pStyle w:val="ListParagraph"/>
        <w:numPr>
          <w:ilvl w:val="3"/>
          <w:numId w:val="3"/>
        </w:numPr>
        <w:tabs>
          <w:tab w:val="left" w:pos="2261"/>
        </w:tabs>
        <w:ind w:right="234" w:hanging="487"/>
        <w:jc w:val="both"/>
        <w:rPr>
          <w:sz w:val="24"/>
        </w:rPr>
      </w:pPr>
      <w:r>
        <w:rPr>
          <w:b/>
          <w:sz w:val="24"/>
        </w:rPr>
        <w:t>Billing During Implemen</w:t>
      </w:r>
      <w:r>
        <w:rPr>
          <w:b/>
          <w:sz w:val="24"/>
        </w:rPr>
        <w:t xml:space="preserve">tation Period. </w:t>
      </w:r>
      <w:r>
        <w:rPr>
          <w:sz w:val="24"/>
        </w:rPr>
        <w:t>Until sixty (60) calendar days after the Start Date, as set forth on the initial Order form for CC</w:t>
      </w:r>
      <w:r>
        <w:rPr>
          <w:spacing w:val="-13"/>
          <w:sz w:val="24"/>
        </w:rPr>
        <w:t xml:space="preserve"> </w:t>
      </w:r>
      <w:r>
        <w:rPr>
          <w:sz w:val="24"/>
        </w:rPr>
        <w:t>Services (the “</w:t>
      </w:r>
      <w:r>
        <w:rPr>
          <w:b/>
          <w:sz w:val="24"/>
        </w:rPr>
        <w:t>Implementation</w:t>
      </w:r>
      <w:r>
        <w:rPr>
          <w:b/>
          <w:spacing w:val="-9"/>
          <w:sz w:val="24"/>
        </w:rPr>
        <w:t xml:space="preserve"> </w:t>
      </w:r>
      <w:r>
        <w:rPr>
          <w:b/>
          <w:sz w:val="24"/>
        </w:rPr>
        <w:t>Period</w:t>
      </w:r>
      <w:r>
        <w:rPr>
          <w:sz w:val="24"/>
        </w:rPr>
        <w:t>”):</w:t>
      </w:r>
    </w:p>
    <w:p w:rsidR="00822563" w:rsidRDefault="00822563">
      <w:pPr>
        <w:pStyle w:val="BodyText"/>
        <w:rPr>
          <w:sz w:val="20"/>
        </w:rPr>
      </w:pPr>
    </w:p>
    <w:p w:rsidR="00822563" w:rsidRDefault="00D87602">
      <w:pPr>
        <w:pStyle w:val="ListParagraph"/>
        <w:numPr>
          <w:ilvl w:val="4"/>
          <w:numId w:val="3"/>
        </w:numPr>
        <w:tabs>
          <w:tab w:val="left" w:pos="2981"/>
        </w:tabs>
        <w:ind w:right="284"/>
        <w:jc w:val="left"/>
        <w:rPr>
          <w:sz w:val="24"/>
        </w:rPr>
      </w:pPr>
      <w:r>
        <w:rPr>
          <w:sz w:val="24"/>
        </w:rPr>
        <w:t xml:space="preserve">Customer is billed for the number of actual Seats, and CC-Usage (as defined below) Customer actually </w:t>
      </w:r>
      <w:r>
        <w:rPr>
          <w:sz w:val="24"/>
        </w:rPr>
        <w:t xml:space="preserve">uses; </w:t>
      </w:r>
      <w:r>
        <w:rPr>
          <w:i/>
          <w:sz w:val="24"/>
        </w:rPr>
        <w:t>provided, however</w:t>
      </w:r>
      <w:r>
        <w:rPr>
          <w:sz w:val="24"/>
        </w:rPr>
        <w:t>, Customer is not billed for any Seats or Usage used by</w:t>
      </w:r>
      <w:r>
        <w:rPr>
          <w:spacing w:val="-16"/>
          <w:sz w:val="24"/>
        </w:rPr>
        <w:t xml:space="preserve"> </w:t>
      </w:r>
      <w:r w:rsidR="00502B69">
        <w:rPr>
          <w:sz w:val="24"/>
        </w:rPr>
        <w:t>Carousel</w:t>
      </w:r>
      <w:r>
        <w:rPr>
          <w:sz w:val="24"/>
        </w:rPr>
        <w:t>’s</w:t>
      </w:r>
    </w:p>
    <w:p w:rsidR="00822563" w:rsidRDefault="00822563">
      <w:pPr>
        <w:rPr>
          <w:sz w:val="24"/>
        </w:rPr>
        <w:sectPr w:rsidR="00822563">
          <w:type w:val="continuous"/>
          <w:pgSz w:w="12240" w:h="15840"/>
          <w:pgMar w:top="1380" w:right="1400" w:bottom="280" w:left="1340" w:header="720" w:footer="720" w:gutter="0"/>
          <w:cols w:space="720"/>
        </w:sectPr>
      </w:pPr>
    </w:p>
    <w:p w:rsidR="00822563" w:rsidRDefault="00D87602">
      <w:pPr>
        <w:pStyle w:val="BodyText"/>
        <w:spacing w:before="52"/>
        <w:ind w:left="2601" w:right="100"/>
      </w:pPr>
      <w:r>
        <w:lastRenderedPageBreak/>
        <w:t>Authorized Service Provider’s, or a partner’s implementation personnel to configure and implement Customer’s implementation. “</w:t>
      </w:r>
      <w:r>
        <w:rPr>
          <w:b/>
        </w:rPr>
        <w:t>CC-Usage</w:t>
      </w:r>
      <w:r>
        <w:t xml:space="preserve">” means any charges </w:t>
      </w:r>
      <w:r>
        <w:t>incurred in connection with the use of Your Contact Center Plan, including, without limitation, local, long-distance, international, and toll-free minutes and charges and ports, and any products listed on the Order form for CC Services.</w:t>
      </w:r>
    </w:p>
    <w:p w:rsidR="00822563" w:rsidRDefault="00822563">
      <w:pPr>
        <w:pStyle w:val="BodyText"/>
        <w:rPr>
          <w:sz w:val="20"/>
        </w:rPr>
      </w:pPr>
    </w:p>
    <w:p w:rsidR="00822563" w:rsidRDefault="00D87602">
      <w:pPr>
        <w:pStyle w:val="ListParagraph"/>
        <w:numPr>
          <w:ilvl w:val="4"/>
          <w:numId w:val="3"/>
        </w:numPr>
        <w:tabs>
          <w:tab w:val="left" w:pos="2601"/>
        </w:tabs>
        <w:ind w:left="2601" w:right="522"/>
        <w:jc w:val="left"/>
        <w:rPr>
          <w:sz w:val="24"/>
        </w:rPr>
      </w:pPr>
      <w:r>
        <w:rPr>
          <w:sz w:val="24"/>
        </w:rPr>
        <w:t>Any other applicab</w:t>
      </w:r>
      <w:r>
        <w:rPr>
          <w:sz w:val="24"/>
        </w:rPr>
        <w:t>le charges not set forth above will apply</w:t>
      </w:r>
      <w:r>
        <w:rPr>
          <w:spacing w:val="-13"/>
          <w:sz w:val="24"/>
        </w:rPr>
        <w:t xml:space="preserve"> </w:t>
      </w:r>
      <w:r>
        <w:rPr>
          <w:sz w:val="24"/>
        </w:rPr>
        <w:t>the same as they would after the Go-Live Date (as defined</w:t>
      </w:r>
      <w:r>
        <w:rPr>
          <w:spacing w:val="-10"/>
          <w:sz w:val="24"/>
        </w:rPr>
        <w:t xml:space="preserve"> </w:t>
      </w:r>
      <w:r>
        <w:rPr>
          <w:sz w:val="24"/>
        </w:rPr>
        <w:t>below).</w:t>
      </w:r>
    </w:p>
    <w:p w:rsidR="00822563" w:rsidRDefault="00822563">
      <w:pPr>
        <w:pStyle w:val="BodyText"/>
        <w:rPr>
          <w:sz w:val="20"/>
        </w:rPr>
      </w:pPr>
    </w:p>
    <w:p w:rsidR="00822563" w:rsidRDefault="00D87602">
      <w:pPr>
        <w:pStyle w:val="ListParagraph"/>
        <w:numPr>
          <w:ilvl w:val="3"/>
          <w:numId w:val="3"/>
        </w:numPr>
        <w:tabs>
          <w:tab w:val="left" w:pos="1881"/>
        </w:tabs>
        <w:ind w:left="1880" w:right="173" w:hanging="554"/>
        <w:jc w:val="left"/>
        <w:rPr>
          <w:sz w:val="24"/>
        </w:rPr>
      </w:pPr>
      <w:r>
        <w:rPr>
          <w:b/>
          <w:sz w:val="24"/>
        </w:rPr>
        <w:t xml:space="preserve">BRD Certification. </w:t>
      </w:r>
      <w:r>
        <w:rPr>
          <w:sz w:val="24"/>
        </w:rPr>
        <w:t xml:space="preserve">Initially, Customer’s CC Services will be limited to one (1) port per Seat. Upon </w:t>
      </w:r>
      <w:r w:rsidR="00502B69">
        <w:rPr>
          <w:sz w:val="24"/>
        </w:rPr>
        <w:t>Carousel</w:t>
      </w:r>
      <w:r>
        <w:rPr>
          <w:sz w:val="24"/>
        </w:rPr>
        <w:t>’s Authorized Service Provider’s completion of the implementation of Contact Center per the Initial Order for CC Services, Customer must promptly test the implementati</w:t>
      </w:r>
      <w:r>
        <w:rPr>
          <w:sz w:val="24"/>
        </w:rPr>
        <w:t>on and promptly provide the implementation personnel in writing any issues encountered. If the implementation reasonably meets Customer’s requirements, Customer must promptly execute the business</w:t>
      </w:r>
      <w:r>
        <w:rPr>
          <w:spacing w:val="-10"/>
          <w:sz w:val="24"/>
        </w:rPr>
        <w:t xml:space="preserve"> </w:t>
      </w:r>
      <w:r>
        <w:rPr>
          <w:sz w:val="24"/>
        </w:rPr>
        <w:t>requirements document (the “</w:t>
      </w:r>
      <w:r>
        <w:rPr>
          <w:b/>
          <w:sz w:val="24"/>
        </w:rPr>
        <w:t>BRD Certification</w:t>
      </w:r>
      <w:r>
        <w:rPr>
          <w:sz w:val="24"/>
        </w:rPr>
        <w:t>”). Upon Custom</w:t>
      </w:r>
      <w:r>
        <w:rPr>
          <w:sz w:val="24"/>
        </w:rPr>
        <w:t>er’s execution of the BRD Certification, the number of ports will be raised to the contracted amount identified in the Initial Order for CC</w:t>
      </w:r>
      <w:r>
        <w:rPr>
          <w:spacing w:val="-13"/>
          <w:sz w:val="24"/>
        </w:rPr>
        <w:t xml:space="preserve"> </w:t>
      </w:r>
      <w:r>
        <w:rPr>
          <w:sz w:val="24"/>
        </w:rPr>
        <w:t>Services.</w:t>
      </w:r>
    </w:p>
    <w:p w:rsidR="00822563" w:rsidRDefault="00822563">
      <w:pPr>
        <w:pStyle w:val="BodyText"/>
        <w:rPr>
          <w:sz w:val="20"/>
        </w:rPr>
      </w:pPr>
    </w:p>
    <w:p w:rsidR="00822563" w:rsidRDefault="00D87602">
      <w:pPr>
        <w:pStyle w:val="ListParagraph"/>
        <w:numPr>
          <w:ilvl w:val="3"/>
          <w:numId w:val="3"/>
        </w:numPr>
        <w:tabs>
          <w:tab w:val="left" w:pos="1881"/>
        </w:tabs>
        <w:ind w:left="1880" w:right="387" w:hanging="619"/>
        <w:jc w:val="left"/>
        <w:rPr>
          <w:sz w:val="24"/>
        </w:rPr>
      </w:pPr>
      <w:r>
        <w:rPr>
          <w:b/>
          <w:sz w:val="24"/>
        </w:rPr>
        <w:t xml:space="preserve">Billing After Go-Live Date. </w:t>
      </w:r>
      <w:r>
        <w:rPr>
          <w:sz w:val="24"/>
        </w:rPr>
        <w:t>Starting immediately after the end of the Implementation Period (the “</w:t>
      </w:r>
      <w:r>
        <w:rPr>
          <w:b/>
          <w:sz w:val="24"/>
        </w:rPr>
        <w:t>Go-Live</w:t>
      </w:r>
      <w:r>
        <w:rPr>
          <w:b/>
          <w:sz w:val="24"/>
        </w:rPr>
        <w:t xml:space="preserve"> Date</w:t>
      </w:r>
      <w:r>
        <w:rPr>
          <w:sz w:val="24"/>
        </w:rPr>
        <w:t>”) until the end of the</w:t>
      </w:r>
      <w:r>
        <w:rPr>
          <w:spacing w:val="-9"/>
          <w:sz w:val="24"/>
        </w:rPr>
        <w:t xml:space="preserve"> </w:t>
      </w:r>
      <w:r>
        <w:rPr>
          <w:sz w:val="24"/>
        </w:rPr>
        <w:t>Term:</w:t>
      </w:r>
    </w:p>
    <w:p w:rsidR="00822563" w:rsidRDefault="00822563">
      <w:pPr>
        <w:pStyle w:val="BodyText"/>
        <w:rPr>
          <w:sz w:val="20"/>
        </w:rPr>
      </w:pPr>
    </w:p>
    <w:p w:rsidR="00822563" w:rsidRDefault="00D87602">
      <w:pPr>
        <w:pStyle w:val="ListParagraph"/>
        <w:numPr>
          <w:ilvl w:val="0"/>
          <w:numId w:val="2"/>
        </w:numPr>
        <w:tabs>
          <w:tab w:val="left" w:pos="2601"/>
        </w:tabs>
        <w:ind w:right="380"/>
        <w:rPr>
          <w:sz w:val="24"/>
        </w:rPr>
      </w:pPr>
      <w:r>
        <w:rPr>
          <w:sz w:val="24"/>
        </w:rPr>
        <w:t>Customer is billed for the number of Seats set forth in the initial Order for CC Services (as amended as permitted below) (a “</w:t>
      </w:r>
      <w:r>
        <w:rPr>
          <w:b/>
          <w:sz w:val="24"/>
        </w:rPr>
        <w:t>CC Contract Seat</w:t>
      </w:r>
      <w:r>
        <w:rPr>
          <w:sz w:val="24"/>
        </w:rPr>
        <w:t>”) based on the per-seat pricing set forth in the initial Order (the “</w:t>
      </w:r>
      <w:r>
        <w:rPr>
          <w:b/>
          <w:sz w:val="24"/>
        </w:rPr>
        <w:t>CC Contr</w:t>
      </w:r>
      <w:r>
        <w:rPr>
          <w:b/>
          <w:sz w:val="24"/>
        </w:rPr>
        <w:t>act Seat Price</w:t>
      </w:r>
      <w:r>
        <w:rPr>
          <w:sz w:val="24"/>
        </w:rPr>
        <w:t>”) irrespective of</w:t>
      </w:r>
      <w:r>
        <w:rPr>
          <w:spacing w:val="-10"/>
          <w:sz w:val="24"/>
        </w:rPr>
        <w:t xml:space="preserve"> </w:t>
      </w:r>
      <w:r>
        <w:rPr>
          <w:sz w:val="24"/>
        </w:rPr>
        <w:t>the number of Seats actually</w:t>
      </w:r>
      <w:r>
        <w:rPr>
          <w:spacing w:val="-7"/>
          <w:sz w:val="24"/>
        </w:rPr>
        <w:t xml:space="preserve"> </w:t>
      </w:r>
      <w:r>
        <w:rPr>
          <w:sz w:val="24"/>
        </w:rPr>
        <w:t>used</w:t>
      </w:r>
    </w:p>
    <w:p w:rsidR="00822563" w:rsidRDefault="00822563">
      <w:pPr>
        <w:pStyle w:val="BodyText"/>
        <w:rPr>
          <w:sz w:val="20"/>
        </w:rPr>
      </w:pPr>
    </w:p>
    <w:p w:rsidR="00822563" w:rsidRDefault="00D87602">
      <w:pPr>
        <w:pStyle w:val="ListParagraph"/>
        <w:numPr>
          <w:ilvl w:val="0"/>
          <w:numId w:val="2"/>
        </w:numPr>
        <w:tabs>
          <w:tab w:val="left" w:pos="2601"/>
        </w:tabs>
        <w:ind w:right="388"/>
        <w:rPr>
          <w:sz w:val="24"/>
        </w:rPr>
      </w:pPr>
      <w:r>
        <w:rPr>
          <w:sz w:val="24"/>
        </w:rPr>
        <w:t>At any time, Customer may utilize additional seats on an as- needed basis (each, an “</w:t>
      </w:r>
      <w:r>
        <w:rPr>
          <w:b/>
          <w:sz w:val="24"/>
        </w:rPr>
        <w:t>On-Demand CC Seat</w:t>
      </w:r>
      <w:r>
        <w:rPr>
          <w:sz w:val="24"/>
        </w:rPr>
        <w:t>”).  Customer will be charged for any On-Demand CC Seat at the rate of the CC Contract Seat Price plus twenty dollars ($20) per month</w:t>
      </w:r>
      <w:r>
        <w:rPr>
          <w:spacing w:val="-13"/>
          <w:sz w:val="24"/>
        </w:rPr>
        <w:t xml:space="preserve"> </w:t>
      </w:r>
      <w:r>
        <w:rPr>
          <w:sz w:val="24"/>
        </w:rPr>
        <w:t>(the “</w:t>
      </w:r>
      <w:r>
        <w:rPr>
          <w:b/>
          <w:sz w:val="24"/>
        </w:rPr>
        <w:t>On-Demand CC Price</w:t>
      </w:r>
      <w:r>
        <w:rPr>
          <w:sz w:val="24"/>
        </w:rPr>
        <w:t>”) until Customer removes this Seat (which Customer may do at any time in its discretion). Fees fo</w:t>
      </w:r>
      <w:r>
        <w:rPr>
          <w:sz w:val="24"/>
        </w:rPr>
        <w:t>r any On-Demand CC seats removed in the middle of the billing period will be</w:t>
      </w:r>
      <w:r>
        <w:rPr>
          <w:spacing w:val="-6"/>
          <w:sz w:val="24"/>
        </w:rPr>
        <w:t xml:space="preserve"> </w:t>
      </w:r>
      <w:r>
        <w:rPr>
          <w:sz w:val="24"/>
        </w:rPr>
        <w:t>prorated.</w:t>
      </w:r>
    </w:p>
    <w:p w:rsidR="00822563" w:rsidRDefault="00822563">
      <w:pPr>
        <w:pStyle w:val="BodyText"/>
        <w:rPr>
          <w:sz w:val="20"/>
        </w:rPr>
      </w:pPr>
    </w:p>
    <w:p w:rsidR="00822563" w:rsidRDefault="00D87602">
      <w:pPr>
        <w:pStyle w:val="ListParagraph"/>
        <w:numPr>
          <w:ilvl w:val="0"/>
          <w:numId w:val="2"/>
        </w:numPr>
        <w:tabs>
          <w:tab w:val="left" w:pos="2601"/>
        </w:tabs>
        <w:ind w:right="362"/>
        <w:rPr>
          <w:sz w:val="24"/>
        </w:rPr>
      </w:pPr>
      <w:r>
        <w:rPr>
          <w:sz w:val="24"/>
        </w:rPr>
        <w:t xml:space="preserve">At any time, Customer may convert an On-Demand CC Seat into a CC Contract Seat through an Order amendment. These converted seats will then be billed at the CC Contract </w:t>
      </w:r>
      <w:r>
        <w:rPr>
          <w:sz w:val="24"/>
        </w:rPr>
        <w:t>Seat Price. For the avoidance of doubt, Customer will be required to pay for any such converted seats until the end of the Term.</w:t>
      </w:r>
      <w:r>
        <w:rPr>
          <w:spacing w:val="46"/>
          <w:sz w:val="24"/>
        </w:rPr>
        <w:t xml:space="preserve"> </w:t>
      </w:r>
      <w:r>
        <w:rPr>
          <w:sz w:val="24"/>
        </w:rPr>
        <w:t>Fees for any On-Demand CC seats that are so converted in the middle of the billing period will be</w:t>
      </w:r>
      <w:r>
        <w:rPr>
          <w:spacing w:val="-8"/>
          <w:sz w:val="24"/>
        </w:rPr>
        <w:t xml:space="preserve"> </w:t>
      </w:r>
      <w:r>
        <w:rPr>
          <w:sz w:val="24"/>
        </w:rPr>
        <w:t>prorated.</w:t>
      </w:r>
    </w:p>
    <w:p w:rsidR="00822563" w:rsidRDefault="00822563">
      <w:pPr>
        <w:rPr>
          <w:sz w:val="24"/>
        </w:rPr>
        <w:sectPr w:rsidR="00822563">
          <w:pgSz w:w="12240" w:h="15840"/>
          <w:pgMar w:top="1380" w:right="1360" w:bottom="280" w:left="1720" w:header="720" w:footer="720" w:gutter="0"/>
          <w:cols w:space="720"/>
        </w:sectPr>
      </w:pPr>
    </w:p>
    <w:p w:rsidR="00822563" w:rsidRDefault="00D87602">
      <w:pPr>
        <w:pStyle w:val="ListParagraph"/>
        <w:numPr>
          <w:ilvl w:val="0"/>
          <w:numId w:val="1"/>
        </w:numPr>
        <w:tabs>
          <w:tab w:val="left" w:pos="461"/>
        </w:tabs>
        <w:spacing w:before="52"/>
        <w:ind w:right="131"/>
        <w:rPr>
          <w:sz w:val="24"/>
        </w:rPr>
      </w:pPr>
      <w:r>
        <w:rPr>
          <w:sz w:val="24"/>
        </w:rPr>
        <w:lastRenderedPageBreak/>
        <w:t>C</w:t>
      </w:r>
      <w:r>
        <w:rPr>
          <w:b/>
          <w:sz w:val="24"/>
        </w:rPr>
        <w:t>ontact C</w:t>
      </w:r>
      <w:r>
        <w:rPr>
          <w:b/>
          <w:sz w:val="24"/>
        </w:rPr>
        <w:t xml:space="preserve">enter Account Settings Modifications; Purchases of Additional Seats. </w:t>
      </w:r>
      <w:r>
        <w:rPr>
          <w:sz w:val="24"/>
        </w:rPr>
        <w:t xml:space="preserve">The settings and preferences (including without limitation user rights, skills, and permissions; Contact Center Registration Information; payment methods) related to a </w:t>
      </w:r>
      <w:r w:rsidR="00502B69">
        <w:rPr>
          <w:sz w:val="24"/>
        </w:rPr>
        <w:t>Carousel</w:t>
      </w:r>
      <w:r>
        <w:rPr>
          <w:sz w:val="24"/>
        </w:rPr>
        <w:t xml:space="preserve"> Contact Ce</w:t>
      </w:r>
      <w:r>
        <w:rPr>
          <w:sz w:val="24"/>
        </w:rPr>
        <w:t>nter Customer Account may be set and modified by those individuals whom Customer allows to have access to the Account’s Admin Portal for that Contact Center Account (“</w:t>
      </w:r>
      <w:r>
        <w:rPr>
          <w:b/>
          <w:sz w:val="24"/>
          <w:u w:val="thick"/>
        </w:rPr>
        <w:t>Contact Center Account Administrator(s)</w:t>
      </w:r>
      <w:r>
        <w:rPr>
          <w:sz w:val="24"/>
        </w:rPr>
        <w:t>”). [Additional Seats may be purchased via the Adm</w:t>
      </w:r>
      <w:r>
        <w:rPr>
          <w:sz w:val="24"/>
        </w:rPr>
        <w:t>in Portal or through a new signed Order between the Parties.] These additional CC Contact Center Seats will be billed at the CC Contract Seat Price. For the avoidance of doubt, Customer will be required to pay for these additional CC Contract Seats until t</w:t>
      </w:r>
      <w:r>
        <w:rPr>
          <w:sz w:val="24"/>
        </w:rPr>
        <w:t>he end of the</w:t>
      </w:r>
      <w:r>
        <w:rPr>
          <w:spacing w:val="-12"/>
          <w:sz w:val="24"/>
        </w:rPr>
        <w:t xml:space="preserve"> </w:t>
      </w:r>
      <w:r>
        <w:rPr>
          <w:sz w:val="24"/>
        </w:rPr>
        <w:t>Term.</w:t>
      </w:r>
    </w:p>
    <w:p w:rsidR="00822563" w:rsidRDefault="00822563">
      <w:pPr>
        <w:pStyle w:val="BodyText"/>
        <w:rPr>
          <w:sz w:val="20"/>
        </w:rPr>
      </w:pPr>
    </w:p>
    <w:p w:rsidR="00822563" w:rsidRDefault="00D87602">
      <w:pPr>
        <w:pStyle w:val="ListParagraph"/>
        <w:numPr>
          <w:ilvl w:val="0"/>
          <w:numId w:val="1"/>
        </w:numPr>
        <w:tabs>
          <w:tab w:val="left" w:pos="461"/>
        </w:tabs>
        <w:ind w:right="174"/>
        <w:rPr>
          <w:sz w:val="24"/>
        </w:rPr>
      </w:pPr>
      <w:r>
        <w:rPr>
          <w:b/>
          <w:sz w:val="24"/>
        </w:rPr>
        <w:t xml:space="preserve">Use of the Contact Center Services. </w:t>
      </w:r>
      <w:r>
        <w:rPr>
          <w:sz w:val="24"/>
        </w:rPr>
        <w:t xml:space="preserve">All use of the Contact Center Services shall be subject to the Agreement (including, without limitation the </w:t>
      </w:r>
      <w:r w:rsidR="00502B69">
        <w:rPr>
          <w:sz w:val="24"/>
        </w:rPr>
        <w:t>Business VOIP TOS</w:t>
      </w:r>
      <w:r>
        <w:rPr>
          <w:sz w:val="24"/>
        </w:rPr>
        <w:t>). Customer is fully responsible and liable for all use of the Contact Cente</w:t>
      </w:r>
      <w:r>
        <w:rPr>
          <w:sz w:val="24"/>
        </w:rPr>
        <w:t>r Services, any software or hardware used in conjunction with the Contact Center Services, and any and all fees and charges that are incurred as a result of such Use. In the event of any conflict between the provisions of these Contact Center Services term</w:t>
      </w:r>
      <w:r>
        <w:rPr>
          <w:sz w:val="24"/>
        </w:rPr>
        <w:t>s and the Business VoIP Services terms, the provisions of these Contact Center terms shall control.</w:t>
      </w:r>
    </w:p>
    <w:p w:rsidR="00822563" w:rsidRDefault="00822563">
      <w:pPr>
        <w:pStyle w:val="BodyText"/>
        <w:spacing w:before="3"/>
        <w:rPr>
          <w:sz w:val="21"/>
        </w:rPr>
      </w:pPr>
    </w:p>
    <w:p w:rsidR="00822563" w:rsidRDefault="00D87602">
      <w:pPr>
        <w:pStyle w:val="ListParagraph"/>
        <w:numPr>
          <w:ilvl w:val="0"/>
          <w:numId w:val="1"/>
        </w:numPr>
        <w:tabs>
          <w:tab w:val="left" w:pos="461"/>
        </w:tabs>
        <w:ind w:right="138"/>
        <w:rPr>
          <w:sz w:val="24"/>
        </w:rPr>
      </w:pPr>
      <w:r>
        <w:rPr>
          <w:b/>
          <w:sz w:val="24"/>
        </w:rPr>
        <w:t>No 911 Service. 911 / EMERGENCY CALLS AND MESSAGES MAY NOT BE PLACED OR SENT THROUGH THE CONTACT CENTER SERVICES, AND NO 911 CALLING OR SMS OR OTHER MESSAGING SERVICE IS OFFERED OR PROVIDED WITH THE CONTACT CENTER SERVICES. CUSTOMER MUST MAKE AVAILABLE ALT</w:t>
      </w:r>
      <w:r>
        <w:rPr>
          <w:b/>
          <w:sz w:val="24"/>
        </w:rPr>
        <w:t xml:space="preserve">ERNATIVE ARRANGEMENTS TO PLACE 911 CALLS. </w:t>
      </w:r>
      <w:r>
        <w:rPr>
          <w:sz w:val="24"/>
        </w:rPr>
        <w:t>Customer represents, warrants, and covenants that: (i) any person who might use the Contact Center Services or be</w:t>
      </w:r>
      <w:r>
        <w:rPr>
          <w:spacing w:val="-16"/>
          <w:sz w:val="24"/>
        </w:rPr>
        <w:t xml:space="preserve"> </w:t>
      </w:r>
      <w:r>
        <w:rPr>
          <w:sz w:val="24"/>
        </w:rPr>
        <w:t xml:space="preserve">present at the physical location where any the Contact Center Services might be accessed or used is </w:t>
      </w:r>
      <w:r>
        <w:rPr>
          <w:sz w:val="24"/>
        </w:rPr>
        <w:t xml:space="preserve">fully informed and aware that he or she will not be able to place calls or send messages to 911 or other emergency response services through the Contact Center Services; and (ii) Customer shall provide all of the foregoing parties with an alternate method </w:t>
      </w:r>
      <w:r>
        <w:rPr>
          <w:sz w:val="24"/>
        </w:rPr>
        <w:t>by which to place such calls and, as applicable, to send such</w:t>
      </w:r>
      <w:r>
        <w:rPr>
          <w:spacing w:val="-11"/>
          <w:sz w:val="24"/>
        </w:rPr>
        <w:t xml:space="preserve"> </w:t>
      </w:r>
      <w:r>
        <w:rPr>
          <w:sz w:val="24"/>
        </w:rPr>
        <w:t>messages.</w:t>
      </w:r>
    </w:p>
    <w:p w:rsidR="00822563" w:rsidRDefault="00822563">
      <w:pPr>
        <w:pStyle w:val="BodyText"/>
        <w:rPr>
          <w:sz w:val="20"/>
        </w:rPr>
      </w:pPr>
    </w:p>
    <w:p w:rsidR="00822563" w:rsidRDefault="00D87602">
      <w:pPr>
        <w:pStyle w:val="ListParagraph"/>
        <w:numPr>
          <w:ilvl w:val="0"/>
          <w:numId w:val="1"/>
        </w:numPr>
        <w:tabs>
          <w:tab w:val="left" w:pos="461"/>
        </w:tabs>
        <w:ind w:right="113"/>
        <w:rPr>
          <w:b/>
          <w:sz w:val="24"/>
        </w:rPr>
      </w:pPr>
      <w:r>
        <w:rPr>
          <w:b/>
          <w:sz w:val="24"/>
        </w:rPr>
        <w:t xml:space="preserve">Contact Center and HIPAA.  </w:t>
      </w:r>
      <w:r>
        <w:rPr>
          <w:sz w:val="24"/>
        </w:rPr>
        <w:t>Contact Center Services are not designed, manufactured, intended, or recommended for use as a repository or means by which to store “protected health inform</w:t>
      </w:r>
      <w:r>
        <w:rPr>
          <w:sz w:val="24"/>
        </w:rPr>
        <w:t>ation,” as defined under the Health Insurance Portability and Accountability Act of 1996, the Health Information Technology for Economic and Clinical Health Act, and similar legislation in other jurisdictions, and the regulations promulgated pursuant there</w:t>
      </w:r>
      <w:r>
        <w:rPr>
          <w:sz w:val="24"/>
        </w:rPr>
        <w:t>to (such laws and regulations, “</w:t>
      </w:r>
      <w:r>
        <w:rPr>
          <w:b/>
          <w:sz w:val="24"/>
        </w:rPr>
        <w:t>HIPAA</w:t>
      </w:r>
      <w:r>
        <w:rPr>
          <w:sz w:val="24"/>
        </w:rPr>
        <w:t>”; such information, “</w:t>
      </w:r>
      <w:r>
        <w:rPr>
          <w:b/>
          <w:sz w:val="24"/>
          <w:u w:val="thick"/>
        </w:rPr>
        <w:t>PHI</w:t>
      </w:r>
      <w:r>
        <w:rPr>
          <w:sz w:val="24"/>
        </w:rPr>
        <w:t xml:space="preserve">”), and Customer must represent and warrant that the Contact Services will not will be used for such purpose. </w:t>
      </w:r>
      <w:r w:rsidR="00502B69">
        <w:rPr>
          <w:b/>
          <w:sz w:val="24"/>
        </w:rPr>
        <w:t>CAROUSEL</w:t>
      </w:r>
      <w:r>
        <w:rPr>
          <w:b/>
          <w:sz w:val="24"/>
        </w:rPr>
        <w:t xml:space="preserve"> SPECIFICALLY MAKES NO REPRESENTATION, OR WARRANTY ON BEHALF OF ITSELF AND I</w:t>
      </w:r>
      <w:r>
        <w:rPr>
          <w:b/>
          <w:sz w:val="24"/>
        </w:rPr>
        <w:t>TS AUTHORIOZED SERVICE PROVIDER THAT THE CONTACT CENTER SERVICES COMPLIES OR WILL COMPLY WITH HIPAA OR ANY OTHER LAW OR WILL RENDER ANY PARTY COMPLIANT WITH HIPAA OR ANY OTHER</w:t>
      </w:r>
      <w:r>
        <w:rPr>
          <w:b/>
          <w:spacing w:val="-1"/>
          <w:sz w:val="24"/>
        </w:rPr>
        <w:t xml:space="preserve"> </w:t>
      </w:r>
      <w:r>
        <w:rPr>
          <w:b/>
          <w:sz w:val="24"/>
        </w:rPr>
        <w:t>LAW.</w:t>
      </w:r>
    </w:p>
    <w:p w:rsidR="00822563" w:rsidRDefault="00822563">
      <w:pPr>
        <w:rPr>
          <w:sz w:val="24"/>
        </w:rPr>
        <w:sectPr w:rsidR="00822563">
          <w:pgSz w:w="12240" w:h="15840"/>
          <w:pgMar w:top="1380" w:right="1600" w:bottom="280" w:left="1700" w:header="720" w:footer="720" w:gutter="0"/>
          <w:cols w:space="720"/>
        </w:sectPr>
      </w:pPr>
    </w:p>
    <w:p w:rsidR="00822563" w:rsidRDefault="00D87602">
      <w:pPr>
        <w:pStyle w:val="ListParagraph"/>
        <w:numPr>
          <w:ilvl w:val="0"/>
          <w:numId w:val="1"/>
        </w:numPr>
        <w:tabs>
          <w:tab w:val="left" w:pos="461"/>
        </w:tabs>
        <w:spacing w:before="52"/>
        <w:ind w:right="826"/>
        <w:rPr>
          <w:sz w:val="24"/>
        </w:rPr>
      </w:pPr>
      <w:r>
        <w:rPr>
          <w:b/>
          <w:sz w:val="24"/>
        </w:rPr>
        <w:lastRenderedPageBreak/>
        <w:t xml:space="preserve">Acceptable Use Policy. </w:t>
      </w:r>
      <w:r>
        <w:rPr>
          <w:sz w:val="24"/>
        </w:rPr>
        <w:t>The Contact Center Services are the subjec</w:t>
      </w:r>
      <w:r>
        <w:rPr>
          <w:sz w:val="24"/>
        </w:rPr>
        <w:t xml:space="preserve">t to the Acceptable Use Policy set forth in the </w:t>
      </w:r>
      <w:r w:rsidR="00502B69">
        <w:rPr>
          <w:sz w:val="24"/>
        </w:rPr>
        <w:t>Business VOIP TOS</w:t>
      </w:r>
      <w:r>
        <w:rPr>
          <w:sz w:val="24"/>
        </w:rPr>
        <w:t>. The Contact Center Services are also subject to the following</w:t>
      </w:r>
      <w:r>
        <w:rPr>
          <w:spacing w:val="-14"/>
          <w:sz w:val="24"/>
        </w:rPr>
        <w:t xml:space="preserve"> </w:t>
      </w:r>
      <w:r>
        <w:rPr>
          <w:sz w:val="24"/>
        </w:rPr>
        <w:t>terms:</w:t>
      </w:r>
    </w:p>
    <w:p w:rsidR="00822563" w:rsidRDefault="00822563">
      <w:pPr>
        <w:pStyle w:val="BodyText"/>
        <w:rPr>
          <w:sz w:val="20"/>
        </w:rPr>
      </w:pPr>
    </w:p>
    <w:p w:rsidR="00822563" w:rsidRDefault="00D87602">
      <w:pPr>
        <w:pStyle w:val="ListParagraph"/>
        <w:numPr>
          <w:ilvl w:val="1"/>
          <w:numId w:val="1"/>
        </w:numPr>
        <w:tabs>
          <w:tab w:val="left" w:pos="1181"/>
        </w:tabs>
        <w:ind w:right="122"/>
        <w:rPr>
          <w:sz w:val="24"/>
        </w:rPr>
      </w:pPr>
      <w:r>
        <w:rPr>
          <w:sz w:val="24"/>
        </w:rPr>
        <w:t>Neither Customer nor any End User may use or allow use of the Contact Center Services to transmit, receive, store, mainta</w:t>
      </w:r>
      <w:r>
        <w:rPr>
          <w:sz w:val="24"/>
        </w:rPr>
        <w:t>in, process, create, handle,</w:t>
      </w:r>
      <w:r>
        <w:rPr>
          <w:spacing w:val="-15"/>
          <w:sz w:val="24"/>
        </w:rPr>
        <w:t xml:space="preserve"> </w:t>
      </w:r>
      <w:r>
        <w:rPr>
          <w:sz w:val="24"/>
        </w:rPr>
        <w:t>or perform any other function with respect to</w:t>
      </w:r>
      <w:r>
        <w:rPr>
          <w:spacing w:val="-14"/>
          <w:sz w:val="24"/>
        </w:rPr>
        <w:t xml:space="preserve"> </w:t>
      </w:r>
      <w:r>
        <w:rPr>
          <w:sz w:val="24"/>
        </w:rPr>
        <w:t>PHI.</w:t>
      </w:r>
    </w:p>
    <w:p w:rsidR="00822563" w:rsidRDefault="00822563">
      <w:pPr>
        <w:pStyle w:val="BodyText"/>
        <w:rPr>
          <w:sz w:val="20"/>
        </w:rPr>
      </w:pPr>
    </w:p>
    <w:p w:rsidR="00822563" w:rsidRDefault="00D87602">
      <w:pPr>
        <w:pStyle w:val="ListParagraph"/>
        <w:numPr>
          <w:ilvl w:val="1"/>
          <w:numId w:val="1"/>
        </w:numPr>
        <w:tabs>
          <w:tab w:val="left" w:pos="1181"/>
        </w:tabs>
        <w:ind w:right="708"/>
        <w:rPr>
          <w:sz w:val="24"/>
        </w:rPr>
      </w:pPr>
      <w:r>
        <w:rPr>
          <w:sz w:val="24"/>
        </w:rPr>
        <w:t>Use of the Contact Center Services to enable trunking, handling</w:t>
      </w:r>
      <w:r>
        <w:rPr>
          <w:spacing w:val="-13"/>
          <w:sz w:val="24"/>
        </w:rPr>
        <w:t xml:space="preserve"> </w:t>
      </w:r>
      <w:r>
        <w:rPr>
          <w:sz w:val="24"/>
        </w:rPr>
        <w:t>multiple simultaneous calls, or forwarding of calls, is expressly</w:t>
      </w:r>
      <w:r>
        <w:rPr>
          <w:spacing w:val="-13"/>
          <w:sz w:val="24"/>
        </w:rPr>
        <w:t xml:space="preserve"> </w:t>
      </w:r>
      <w:r>
        <w:rPr>
          <w:sz w:val="24"/>
        </w:rPr>
        <w:t>permitted.</w:t>
      </w:r>
    </w:p>
    <w:p w:rsidR="00822563" w:rsidRDefault="00822563">
      <w:pPr>
        <w:pStyle w:val="BodyText"/>
        <w:rPr>
          <w:sz w:val="20"/>
        </w:rPr>
      </w:pPr>
    </w:p>
    <w:p w:rsidR="00822563" w:rsidRDefault="00D87602">
      <w:pPr>
        <w:pStyle w:val="ListParagraph"/>
        <w:numPr>
          <w:ilvl w:val="0"/>
          <w:numId w:val="1"/>
        </w:numPr>
        <w:tabs>
          <w:tab w:val="left" w:pos="461"/>
        </w:tabs>
        <w:ind w:right="126"/>
        <w:rPr>
          <w:sz w:val="24"/>
        </w:rPr>
      </w:pPr>
      <w:r>
        <w:rPr>
          <w:b/>
          <w:sz w:val="24"/>
        </w:rPr>
        <w:t xml:space="preserve">Value, Ownership, and Expiration of Credits and Minutes. </w:t>
      </w:r>
      <w:r>
        <w:rPr>
          <w:spacing w:val="-3"/>
          <w:sz w:val="24"/>
        </w:rPr>
        <w:t xml:space="preserve">In </w:t>
      </w:r>
      <w:r>
        <w:rPr>
          <w:sz w:val="24"/>
        </w:rPr>
        <w:t>no event shall any Billing Credit or other type of credit or minute issued to Customer or applied to a Contact Center Account (“</w:t>
      </w:r>
      <w:r>
        <w:rPr>
          <w:b/>
          <w:sz w:val="24"/>
          <w:u w:val="thick"/>
        </w:rPr>
        <w:t>Contact Center Account Credits</w:t>
      </w:r>
      <w:r>
        <w:rPr>
          <w:sz w:val="24"/>
        </w:rPr>
        <w:t>”) have any monetary value or be excha</w:t>
      </w:r>
      <w:r>
        <w:rPr>
          <w:sz w:val="24"/>
        </w:rPr>
        <w:t>ngeable or exchanged for cash. Contact Center Account Credits: (i) may be applied to only the Contact Center Account for which they were purchased and/or provided; (ii) may not be sold, transferred, assigned, or applied to any other Contact Center Account,</w:t>
      </w:r>
      <w:r>
        <w:rPr>
          <w:sz w:val="24"/>
        </w:rPr>
        <w:t xml:space="preserve"> account, plan, or customer; and (iii) shall expire according</w:t>
      </w:r>
      <w:r>
        <w:rPr>
          <w:spacing w:val="-18"/>
          <w:sz w:val="24"/>
        </w:rPr>
        <w:t xml:space="preserve"> </w:t>
      </w:r>
      <w:r>
        <w:rPr>
          <w:sz w:val="24"/>
        </w:rPr>
        <w:t>to the terms of their purchase or</w:t>
      </w:r>
      <w:r>
        <w:rPr>
          <w:spacing w:val="-5"/>
          <w:sz w:val="24"/>
        </w:rPr>
        <w:t xml:space="preserve"> </w:t>
      </w:r>
      <w:r>
        <w:rPr>
          <w:sz w:val="24"/>
        </w:rPr>
        <w:t>provision.</w:t>
      </w:r>
    </w:p>
    <w:p w:rsidR="00822563" w:rsidRDefault="00822563">
      <w:pPr>
        <w:pStyle w:val="BodyText"/>
        <w:rPr>
          <w:sz w:val="20"/>
        </w:rPr>
      </w:pPr>
    </w:p>
    <w:p w:rsidR="00822563" w:rsidRDefault="00822563">
      <w:pPr>
        <w:pStyle w:val="BodyText"/>
        <w:rPr>
          <w:sz w:val="20"/>
        </w:rPr>
      </w:pPr>
    </w:p>
    <w:p w:rsidR="00822563" w:rsidRDefault="00D87602">
      <w:pPr>
        <w:pStyle w:val="ListParagraph"/>
        <w:numPr>
          <w:ilvl w:val="0"/>
          <w:numId w:val="1"/>
        </w:numPr>
        <w:tabs>
          <w:tab w:val="left" w:pos="461"/>
        </w:tabs>
        <w:ind w:right="372"/>
        <w:rPr>
          <w:sz w:val="24"/>
        </w:rPr>
      </w:pPr>
      <w:r>
        <w:rPr>
          <w:b/>
          <w:sz w:val="24"/>
        </w:rPr>
        <w:t xml:space="preserve">Third Party Beneficiary. </w:t>
      </w:r>
      <w:r>
        <w:rPr>
          <w:sz w:val="24"/>
        </w:rPr>
        <w:t>RingCentral is expressly a third-party</w:t>
      </w:r>
      <w:r>
        <w:rPr>
          <w:sz w:val="24"/>
        </w:rPr>
        <w:t xml:space="preserve"> be</w:t>
      </w:r>
      <w:r>
        <w:rPr>
          <w:sz w:val="24"/>
        </w:rPr>
        <w:t>neficiary of this Services Addendum with full rights and authority to enforce the same against Customer in RingCentral’s</w:t>
      </w:r>
      <w:r>
        <w:rPr>
          <w:spacing w:val="-4"/>
          <w:sz w:val="24"/>
        </w:rPr>
        <w:t xml:space="preserve"> </w:t>
      </w:r>
      <w:r>
        <w:rPr>
          <w:sz w:val="24"/>
        </w:rPr>
        <w:t>discretion.</w:t>
      </w:r>
    </w:p>
    <w:sectPr w:rsidR="00822563">
      <w:pgSz w:w="12240" w:h="15840"/>
      <w:pgMar w:top="1380" w:right="16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85072"/>
    <w:multiLevelType w:val="hybridMultilevel"/>
    <w:tmpl w:val="B14C65DA"/>
    <w:lvl w:ilvl="0" w:tplc="E7E26F92">
      <w:start w:val="3"/>
      <w:numFmt w:val="decimal"/>
      <w:lvlText w:val="%1."/>
      <w:lvlJc w:val="left"/>
      <w:pPr>
        <w:ind w:left="460" w:hanging="360"/>
      </w:pPr>
      <w:rPr>
        <w:rFonts w:ascii="Times New Roman" w:eastAsia="Times New Roman" w:hAnsi="Times New Roman" w:cs="Times New Roman" w:hint="default"/>
        <w:b/>
        <w:bCs/>
        <w:spacing w:val="-8"/>
        <w:w w:val="99"/>
        <w:sz w:val="24"/>
        <w:szCs w:val="24"/>
      </w:rPr>
    </w:lvl>
    <w:lvl w:ilvl="1" w:tplc="94D2C1F2">
      <w:start w:val="1"/>
      <w:numFmt w:val="lowerLetter"/>
      <w:lvlText w:val="%2)"/>
      <w:lvlJc w:val="left"/>
      <w:pPr>
        <w:ind w:left="1180" w:hanging="360"/>
      </w:pPr>
      <w:rPr>
        <w:rFonts w:ascii="Times New Roman" w:eastAsia="Times New Roman" w:hAnsi="Times New Roman" w:cs="Times New Roman" w:hint="default"/>
        <w:b/>
        <w:bCs/>
        <w:spacing w:val="-20"/>
        <w:w w:val="99"/>
        <w:sz w:val="24"/>
        <w:szCs w:val="24"/>
      </w:rPr>
    </w:lvl>
    <w:lvl w:ilvl="2" w:tplc="F3E434F2">
      <w:start w:val="1"/>
      <w:numFmt w:val="bullet"/>
      <w:lvlText w:val="•"/>
      <w:lvlJc w:val="left"/>
      <w:pPr>
        <w:ind w:left="2035" w:hanging="360"/>
      </w:pPr>
      <w:rPr>
        <w:rFonts w:hint="default"/>
      </w:rPr>
    </w:lvl>
    <w:lvl w:ilvl="3" w:tplc="AF32B634">
      <w:start w:val="1"/>
      <w:numFmt w:val="bullet"/>
      <w:lvlText w:val="•"/>
      <w:lvlJc w:val="left"/>
      <w:pPr>
        <w:ind w:left="2891" w:hanging="360"/>
      </w:pPr>
      <w:rPr>
        <w:rFonts w:hint="default"/>
      </w:rPr>
    </w:lvl>
    <w:lvl w:ilvl="4" w:tplc="82B6F846">
      <w:start w:val="1"/>
      <w:numFmt w:val="bullet"/>
      <w:lvlText w:val="•"/>
      <w:lvlJc w:val="left"/>
      <w:pPr>
        <w:ind w:left="3746" w:hanging="360"/>
      </w:pPr>
      <w:rPr>
        <w:rFonts w:hint="default"/>
      </w:rPr>
    </w:lvl>
    <w:lvl w:ilvl="5" w:tplc="2D2A00CE">
      <w:start w:val="1"/>
      <w:numFmt w:val="bullet"/>
      <w:lvlText w:val="•"/>
      <w:lvlJc w:val="left"/>
      <w:pPr>
        <w:ind w:left="4602" w:hanging="360"/>
      </w:pPr>
      <w:rPr>
        <w:rFonts w:hint="default"/>
      </w:rPr>
    </w:lvl>
    <w:lvl w:ilvl="6" w:tplc="3A206C34">
      <w:start w:val="1"/>
      <w:numFmt w:val="bullet"/>
      <w:lvlText w:val="•"/>
      <w:lvlJc w:val="left"/>
      <w:pPr>
        <w:ind w:left="5457" w:hanging="360"/>
      </w:pPr>
      <w:rPr>
        <w:rFonts w:hint="default"/>
      </w:rPr>
    </w:lvl>
    <w:lvl w:ilvl="7" w:tplc="641AA0D0">
      <w:start w:val="1"/>
      <w:numFmt w:val="bullet"/>
      <w:lvlText w:val="•"/>
      <w:lvlJc w:val="left"/>
      <w:pPr>
        <w:ind w:left="6313" w:hanging="360"/>
      </w:pPr>
      <w:rPr>
        <w:rFonts w:hint="default"/>
      </w:rPr>
    </w:lvl>
    <w:lvl w:ilvl="8" w:tplc="F856965C">
      <w:start w:val="1"/>
      <w:numFmt w:val="bullet"/>
      <w:lvlText w:val="•"/>
      <w:lvlJc w:val="left"/>
      <w:pPr>
        <w:ind w:left="7168" w:hanging="360"/>
      </w:pPr>
      <w:rPr>
        <w:rFonts w:hint="default"/>
      </w:rPr>
    </w:lvl>
  </w:abstractNum>
  <w:abstractNum w:abstractNumId="1" w15:restartNumberingAfterBreak="0">
    <w:nsid w:val="55A55162"/>
    <w:multiLevelType w:val="hybridMultilevel"/>
    <w:tmpl w:val="CF30F2E4"/>
    <w:lvl w:ilvl="0" w:tplc="967A3684">
      <w:start w:val="1"/>
      <w:numFmt w:val="decimal"/>
      <w:lvlText w:val="%1."/>
      <w:lvlJc w:val="left"/>
      <w:pPr>
        <w:ind w:left="2601" w:hanging="360"/>
      </w:pPr>
      <w:rPr>
        <w:rFonts w:ascii="Times New Roman" w:eastAsia="Times New Roman" w:hAnsi="Times New Roman" w:cs="Times New Roman" w:hint="default"/>
        <w:b/>
        <w:bCs/>
        <w:spacing w:val="-3"/>
        <w:w w:val="99"/>
        <w:sz w:val="24"/>
        <w:szCs w:val="24"/>
      </w:rPr>
    </w:lvl>
    <w:lvl w:ilvl="1" w:tplc="F6B07FE0">
      <w:start w:val="1"/>
      <w:numFmt w:val="bullet"/>
      <w:lvlText w:val="•"/>
      <w:lvlJc w:val="left"/>
      <w:pPr>
        <w:ind w:left="3256" w:hanging="360"/>
      </w:pPr>
      <w:rPr>
        <w:rFonts w:hint="default"/>
      </w:rPr>
    </w:lvl>
    <w:lvl w:ilvl="2" w:tplc="163EA7EE">
      <w:start w:val="1"/>
      <w:numFmt w:val="bullet"/>
      <w:lvlText w:val="•"/>
      <w:lvlJc w:val="left"/>
      <w:pPr>
        <w:ind w:left="3912" w:hanging="360"/>
      </w:pPr>
      <w:rPr>
        <w:rFonts w:hint="default"/>
      </w:rPr>
    </w:lvl>
    <w:lvl w:ilvl="3" w:tplc="BE08A9B6">
      <w:start w:val="1"/>
      <w:numFmt w:val="bullet"/>
      <w:lvlText w:val="•"/>
      <w:lvlJc w:val="left"/>
      <w:pPr>
        <w:ind w:left="4568" w:hanging="360"/>
      </w:pPr>
      <w:rPr>
        <w:rFonts w:hint="default"/>
      </w:rPr>
    </w:lvl>
    <w:lvl w:ilvl="4" w:tplc="3690B076">
      <w:start w:val="1"/>
      <w:numFmt w:val="bullet"/>
      <w:lvlText w:val="•"/>
      <w:lvlJc w:val="left"/>
      <w:pPr>
        <w:ind w:left="5224" w:hanging="360"/>
      </w:pPr>
      <w:rPr>
        <w:rFonts w:hint="default"/>
      </w:rPr>
    </w:lvl>
    <w:lvl w:ilvl="5" w:tplc="0C26601E">
      <w:start w:val="1"/>
      <w:numFmt w:val="bullet"/>
      <w:lvlText w:val="•"/>
      <w:lvlJc w:val="left"/>
      <w:pPr>
        <w:ind w:left="5880" w:hanging="360"/>
      </w:pPr>
      <w:rPr>
        <w:rFonts w:hint="default"/>
      </w:rPr>
    </w:lvl>
    <w:lvl w:ilvl="6" w:tplc="BD24921A">
      <w:start w:val="1"/>
      <w:numFmt w:val="bullet"/>
      <w:lvlText w:val="•"/>
      <w:lvlJc w:val="left"/>
      <w:pPr>
        <w:ind w:left="6536" w:hanging="360"/>
      </w:pPr>
      <w:rPr>
        <w:rFonts w:hint="default"/>
      </w:rPr>
    </w:lvl>
    <w:lvl w:ilvl="7" w:tplc="5AF028E6">
      <w:start w:val="1"/>
      <w:numFmt w:val="bullet"/>
      <w:lvlText w:val="•"/>
      <w:lvlJc w:val="left"/>
      <w:pPr>
        <w:ind w:left="7192" w:hanging="360"/>
      </w:pPr>
      <w:rPr>
        <w:rFonts w:hint="default"/>
      </w:rPr>
    </w:lvl>
    <w:lvl w:ilvl="8" w:tplc="49363050">
      <w:start w:val="1"/>
      <w:numFmt w:val="bullet"/>
      <w:lvlText w:val="•"/>
      <w:lvlJc w:val="left"/>
      <w:pPr>
        <w:ind w:left="7848" w:hanging="360"/>
      </w:pPr>
      <w:rPr>
        <w:rFonts w:hint="default"/>
      </w:rPr>
    </w:lvl>
  </w:abstractNum>
  <w:abstractNum w:abstractNumId="2" w15:restartNumberingAfterBreak="0">
    <w:nsid w:val="71D7279A"/>
    <w:multiLevelType w:val="hybridMultilevel"/>
    <w:tmpl w:val="D1123F74"/>
    <w:lvl w:ilvl="0" w:tplc="CDEECC6A">
      <w:start w:val="1"/>
      <w:numFmt w:val="upperLetter"/>
      <w:lvlText w:val="%1."/>
      <w:lvlJc w:val="left"/>
      <w:pPr>
        <w:ind w:left="100" w:hanging="720"/>
      </w:pPr>
      <w:rPr>
        <w:rFonts w:ascii="Times New Roman" w:eastAsia="Times New Roman" w:hAnsi="Times New Roman" w:cs="Times New Roman" w:hint="default"/>
        <w:b/>
        <w:bCs/>
        <w:spacing w:val="-1"/>
        <w:w w:val="99"/>
        <w:sz w:val="24"/>
        <w:szCs w:val="24"/>
      </w:rPr>
    </w:lvl>
    <w:lvl w:ilvl="1" w:tplc="756ACD3A">
      <w:start w:val="1"/>
      <w:numFmt w:val="decimal"/>
      <w:lvlText w:val="%2."/>
      <w:lvlJc w:val="left"/>
      <w:pPr>
        <w:ind w:left="820" w:hanging="360"/>
      </w:pPr>
      <w:rPr>
        <w:rFonts w:ascii="Times New Roman" w:eastAsia="Times New Roman" w:hAnsi="Times New Roman" w:cs="Times New Roman" w:hint="default"/>
        <w:spacing w:val="-4"/>
        <w:w w:val="99"/>
        <w:sz w:val="24"/>
        <w:szCs w:val="24"/>
      </w:rPr>
    </w:lvl>
    <w:lvl w:ilvl="2" w:tplc="9F1EAB74">
      <w:start w:val="1"/>
      <w:numFmt w:val="lowerLetter"/>
      <w:lvlText w:val="%3)"/>
      <w:lvlJc w:val="left"/>
      <w:pPr>
        <w:ind w:left="1540" w:hanging="360"/>
      </w:pPr>
      <w:rPr>
        <w:rFonts w:ascii="Times New Roman" w:eastAsia="Times New Roman" w:hAnsi="Times New Roman" w:cs="Times New Roman" w:hint="default"/>
        <w:spacing w:val="-6"/>
        <w:w w:val="99"/>
        <w:sz w:val="24"/>
        <w:szCs w:val="24"/>
      </w:rPr>
    </w:lvl>
    <w:lvl w:ilvl="3" w:tplc="1FA8DE6C">
      <w:start w:val="1"/>
      <w:numFmt w:val="lowerRoman"/>
      <w:lvlText w:val="%4."/>
      <w:lvlJc w:val="left"/>
      <w:pPr>
        <w:ind w:left="2260" w:hanging="488"/>
        <w:jc w:val="right"/>
      </w:pPr>
      <w:rPr>
        <w:rFonts w:ascii="Times New Roman" w:eastAsia="Times New Roman" w:hAnsi="Times New Roman" w:cs="Times New Roman" w:hint="default"/>
        <w:spacing w:val="-8"/>
        <w:w w:val="99"/>
        <w:sz w:val="24"/>
        <w:szCs w:val="24"/>
      </w:rPr>
    </w:lvl>
    <w:lvl w:ilvl="4" w:tplc="7834E522">
      <w:start w:val="1"/>
      <w:numFmt w:val="decimal"/>
      <w:lvlText w:val="%5."/>
      <w:lvlJc w:val="left"/>
      <w:pPr>
        <w:ind w:left="2981" w:hanging="360"/>
        <w:jc w:val="right"/>
      </w:pPr>
      <w:rPr>
        <w:rFonts w:ascii="Times New Roman" w:eastAsia="Times New Roman" w:hAnsi="Times New Roman" w:cs="Times New Roman" w:hint="default"/>
        <w:spacing w:val="-5"/>
        <w:w w:val="99"/>
        <w:sz w:val="24"/>
        <w:szCs w:val="24"/>
      </w:rPr>
    </w:lvl>
    <w:lvl w:ilvl="5" w:tplc="C4EA015A">
      <w:start w:val="1"/>
      <w:numFmt w:val="bullet"/>
      <w:lvlText w:val="•"/>
      <w:lvlJc w:val="left"/>
      <w:pPr>
        <w:ind w:left="4066" w:hanging="360"/>
      </w:pPr>
      <w:rPr>
        <w:rFonts w:hint="default"/>
      </w:rPr>
    </w:lvl>
    <w:lvl w:ilvl="6" w:tplc="412CA2AC">
      <w:start w:val="1"/>
      <w:numFmt w:val="bullet"/>
      <w:lvlText w:val="•"/>
      <w:lvlJc w:val="left"/>
      <w:pPr>
        <w:ind w:left="5153" w:hanging="360"/>
      </w:pPr>
      <w:rPr>
        <w:rFonts w:hint="default"/>
      </w:rPr>
    </w:lvl>
    <w:lvl w:ilvl="7" w:tplc="0C0EE496">
      <w:start w:val="1"/>
      <w:numFmt w:val="bullet"/>
      <w:lvlText w:val="•"/>
      <w:lvlJc w:val="left"/>
      <w:pPr>
        <w:ind w:left="6240" w:hanging="360"/>
      </w:pPr>
      <w:rPr>
        <w:rFonts w:hint="default"/>
      </w:rPr>
    </w:lvl>
    <w:lvl w:ilvl="8" w:tplc="E81645C4">
      <w:start w:val="1"/>
      <w:numFmt w:val="bullet"/>
      <w:lvlText w:val="•"/>
      <w:lvlJc w:val="left"/>
      <w:pPr>
        <w:ind w:left="732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22563"/>
    <w:rsid w:val="00502B69"/>
    <w:rsid w:val="00822563"/>
    <w:rsid w:val="00AE76DB"/>
    <w:rsid w:val="00D87602"/>
    <w:rsid w:val="00F8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2488"/>
  <w15:docId w15:val="{FB758588-0266-437E-9E35-4484DA93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Mcmurray</dc:creator>
  <cp:lastModifiedBy>Houlihan, Richard</cp:lastModifiedBy>
  <cp:revision>3</cp:revision>
  <dcterms:created xsi:type="dcterms:W3CDTF">2017-03-22T15:16:00Z</dcterms:created>
  <dcterms:modified xsi:type="dcterms:W3CDTF">2017-03-22T15:17:00Z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2010</vt:lpwstr>
  </property>
  <property fmtid="{D5CDD505-2E9C-101B-9397-08002B2CF9AE}" pid="4" name="LastSaved">
    <vt:filetime>2017-03-22T00:00:00Z</vt:filetime>
  </property>
</Properties>
</file>